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6B" w:rsidRDefault="00652BE0">
      <w:pPr>
        <w:spacing w:after="108" w:line="259" w:lineRule="auto"/>
        <w:ind w:left="0" w:right="363" w:firstLine="0"/>
        <w:jc w:val="center"/>
      </w:pPr>
      <w:r>
        <w:rPr>
          <w:b/>
          <w:sz w:val="32"/>
        </w:rPr>
        <w:t xml:space="preserve">Положение </w:t>
      </w:r>
    </w:p>
    <w:p w:rsidR="009557DD" w:rsidRDefault="00652BE0" w:rsidP="009557DD">
      <w:pPr>
        <w:pStyle w:val="1"/>
        <w:spacing w:after="2"/>
      </w:pPr>
      <w:r>
        <w:t xml:space="preserve">О проведении “Выставки инженерно-народного творчества” </w:t>
      </w:r>
    </w:p>
    <w:p w:rsidR="009557DD" w:rsidRDefault="009557DD" w:rsidP="009557DD">
      <w:pPr>
        <w:pStyle w:val="1"/>
        <w:spacing w:after="2"/>
        <w:ind w:left="0" w:firstLine="0"/>
      </w:pPr>
    </w:p>
    <w:p w:rsidR="00C2336B" w:rsidRDefault="00652BE0" w:rsidP="009557DD">
      <w:pPr>
        <w:pStyle w:val="1"/>
        <w:spacing w:after="2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C2336B" w:rsidRDefault="00652BE0">
      <w:pPr>
        <w:spacing w:after="1" w:line="259" w:lineRule="auto"/>
        <w:ind w:left="360" w:firstLine="0"/>
        <w:jc w:val="left"/>
      </w:pPr>
      <w:r>
        <w:rPr>
          <w:b/>
        </w:rPr>
        <w:t xml:space="preserve"> </w:t>
      </w:r>
    </w:p>
    <w:p w:rsidR="00C2336B" w:rsidRDefault="00652BE0">
      <w:pPr>
        <w:spacing w:after="1"/>
        <w:ind w:left="-5"/>
      </w:pPr>
      <w:r>
        <w:t xml:space="preserve">1.1 Настоящее положение определяет цели, задачи и порядок проведения Выставки инженерно-народного творчества (далее - Выставка). </w:t>
      </w:r>
    </w:p>
    <w:p w:rsidR="00C2336B" w:rsidRDefault="00652BE0">
      <w:pPr>
        <w:spacing w:after="1" w:line="259" w:lineRule="auto"/>
        <w:ind w:left="360" w:firstLine="0"/>
        <w:jc w:val="left"/>
      </w:pPr>
      <w:r>
        <w:t xml:space="preserve"> </w:t>
      </w:r>
    </w:p>
    <w:p w:rsidR="00C2336B" w:rsidRDefault="00652BE0">
      <w:pPr>
        <w:spacing w:after="1"/>
        <w:ind w:left="-5"/>
      </w:pPr>
      <w:r>
        <w:t xml:space="preserve">1.2 </w:t>
      </w:r>
      <w:r>
        <w:t xml:space="preserve">Выставка проводится с целью выявления и поддержки талантливой молодёжи в научной, конструкторской, технологической, творческой и внедренческой деятельности. </w:t>
      </w:r>
    </w:p>
    <w:p w:rsidR="00C2336B" w:rsidRDefault="00652BE0">
      <w:pPr>
        <w:spacing w:after="2" w:line="259" w:lineRule="auto"/>
        <w:ind w:left="360" w:firstLine="0"/>
        <w:jc w:val="left"/>
      </w:pPr>
      <w:r>
        <w:t xml:space="preserve"> </w:t>
      </w:r>
    </w:p>
    <w:p w:rsidR="00C2336B" w:rsidRDefault="00652BE0">
      <w:pPr>
        <w:spacing w:after="0" w:line="266" w:lineRule="auto"/>
        <w:ind w:left="0" w:firstLine="0"/>
        <w:jc w:val="left"/>
      </w:pPr>
      <w:r>
        <w:t xml:space="preserve">1.3 Организатор Выставки: Калининградская Региональная Общественная Организация </w:t>
      </w:r>
      <w:r>
        <w:tab/>
        <w:t xml:space="preserve">Повышения </w:t>
      </w:r>
      <w:r>
        <w:tab/>
        <w:t>Обра</w:t>
      </w:r>
      <w:r>
        <w:t xml:space="preserve">зовательного </w:t>
      </w:r>
      <w:r>
        <w:tab/>
        <w:t xml:space="preserve">Уровня </w:t>
      </w:r>
      <w:r>
        <w:tab/>
        <w:t xml:space="preserve">Населения "ОБРАЗОВАНИЕ" (далее КРОО «ОБРАЗОВАНИЕ»). </w:t>
      </w:r>
    </w:p>
    <w:p w:rsidR="00C2336B" w:rsidRDefault="00652BE0">
      <w:pPr>
        <w:spacing w:after="38" w:line="259" w:lineRule="auto"/>
        <w:ind w:left="360" w:firstLine="0"/>
        <w:jc w:val="left"/>
      </w:pPr>
      <w:r>
        <w:t xml:space="preserve"> </w:t>
      </w:r>
    </w:p>
    <w:p w:rsidR="00C2336B" w:rsidRDefault="00652BE0">
      <w:pPr>
        <w:pStyle w:val="1"/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Задачи Выставки </w:t>
      </w:r>
    </w:p>
    <w:p w:rsidR="00C2336B" w:rsidRDefault="00652BE0">
      <w:pPr>
        <w:ind w:left="-5"/>
      </w:pPr>
      <w:r>
        <w:t>2.1</w:t>
      </w:r>
      <w:r>
        <w:t xml:space="preserve"> Задачами выставки являются:  </w:t>
      </w:r>
    </w:p>
    <w:p w:rsidR="00C2336B" w:rsidRDefault="00652BE0">
      <w:pPr>
        <w:ind w:left="-5"/>
      </w:pPr>
      <w:r>
        <w:t xml:space="preserve">-выявление талантливой молодёжи и создание условий для их дальнейшего интеллектуального и творческого развития. </w:t>
      </w:r>
    </w:p>
    <w:p w:rsidR="00C2336B" w:rsidRDefault="00652BE0">
      <w:pPr>
        <w:numPr>
          <w:ilvl w:val="0"/>
          <w:numId w:val="1"/>
        </w:numPr>
      </w:pPr>
      <w:r>
        <w:t>стимулирован</w:t>
      </w:r>
      <w:r>
        <w:t xml:space="preserve">ие интереса к научно-технической и научно-исследовательской деятельности. </w:t>
      </w:r>
    </w:p>
    <w:p w:rsidR="00C2336B" w:rsidRDefault="00652BE0">
      <w:pPr>
        <w:numPr>
          <w:ilvl w:val="0"/>
          <w:numId w:val="1"/>
        </w:numPr>
      </w:pPr>
      <w:r>
        <w:t xml:space="preserve">повышение конкурентоспособности молодежных научно-технических исследований и разработок, а также содействие их продвижению.  </w:t>
      </w:r>
    </w:p>
    <w:p w:rsidR="00C2336B" w:rsidRDefault="00652BE0">
      <w:pPr>
        <w:ind w:left="-5"/>
      </w:pPr>
      <w:r>
        <w:t xml:space="preserve">-формирование инновационной культуры. </w:t>
      </w:r>
    </w:p>
    <w:p w:rsidR="00C2336B" w:rsidRDefault="00652BE0">
      <w:pPr>
        <w:ind w:left="-5"/>
      </w:pPr>
      <w:r>
        <w:t xml:space="preserve">-обеспечение </w:t>
      </w:r>
      <w:r>
        <w:t xml:space="preserve">взаимодействия образовательных, научных, производственных организаций и бизнеса. </w:t>
      </w:r>
    </w:p>
    <w:p w:rsidR="00C2336B" w:rsidRDefault="00652BE0">
      <w:pPr>
        <w:pStyle w:val="1"/>
        <w:ind w:left="-5"/>
      </w:pPr>
      <w:r>
        <w:t xml:space="preserve">3. Управление Выставкой </w:t>
      </w:r>
    </w:p>
    <w:p w:rsidR="00C2336B" w:rsidRDefault="00652BE0">
      <w:pPr>
        <w:ind w:left="-5"/>
      </w:pPr>
      <w:r>
        <w:t xml:space="preserve">3.1 Общее руководство, подготовку и проведение Выставки осуществляет рабочая группа по подготовке и проведению Выставки (далее Рабочая группа). </w:t>
      </w:r>
    </w:p>
    <w:p w:rsidR="00C2336B" w:rsidRDefault="00652BE0">
      <w:pPr>
        <w:ind w:left="-5"/>
      </w:pPr>
      <w:r>
        <w:t xml:space="preserve">3.2 </w:t>
      </w:r>
      <w:r>
        <w:t xml:space="preserve">Функции Рабочей группы: </w:t>
      </w:r>
    </w:p>
    <w:p w:rsidR="00C2336B" w:rsidRDefault="00652BE0">
      <w:pPr>
        <w:numPr>
          <w:ilvl w:val="0"/>
          <w:numId w:val="2"/>
        </w:numPr>
        <w:ind w:hanging="139"/>
      </w:pPr>
      <w:r>
        <w:t xml:space="preserve">определение порядка и формы проведения Выставки. </w:t>
      </w:r>
    </w:p>
    <w:p w:rsidR="00C2336B" w:rsidRDefault="00652BE0">
      <w:pPr>
        <w:ind w:left="-5"/>
      </w:pPr>
      <w:r>
        <w:t xml:space="preserve">-руководство подготовкой, рассылкой и обработкой выставочной документации. </w:t>
      </w:r>
    </w:p>
    <w:p w:rsidR="00C2336B" w:rsidRDefault="00652BE0">
      <w:pPr>
        <w:numPr>
          <w:ilvl w:val="0"/>
          <w:numId w:val="2"/>
        </w:numPr>
        <w:ind w:hanging="139"/>
      </w:pPr>
      <w:r>
        <w:t xml:space="preserve">определение условий и требований предоставления презентационных и проектных материалов для Выставки. </w:t>
      </w:r>
    </w:p>
    <w:p w:rsidR="00C2336B" w:rsidRDefault="00652BE0">
      <w:pPr>
        <w:numPr>
          <w:ilvl w:val="0"/>
          <w:numId w:val="2"/>
        </w:numPr>
        <w:ind w:hanging="139"/>
      </w:pPr>
      <w:r>
        <w:lastRenderedPageBreak/>
        <w:t>опр</w:t>
      </w:r>
      <w:r>
        <w:t xml:space="preserve">еделение номинаций Выставки. </w:t>
      </w:r>
    </w:p>
    <w:p w:rsidR="00C2336B" w:rsidRDefault="00652BE0" w:rsidP="009557DD">
      <w:pPr>
        <w:numPr>
          <w:ilvl w:val="0"/>
          <w:numId w:val="2"/>
        </w:numPr>
        <w:ind w:left="142" w:hanging="139"/>
      </w:pPr>
      <w:r>
        <w:t xml:space="preserve">информационное освещение Выставки. </w:t>
      </w:r>
    </w:p>
    <w:p w:rsidR="00C2336B" w:rsidRDefault="00652BE0" w:rsidP="009557DD">
      <w:pPr>
        <w:numPr>
          <w:ilvl w:val="1"/>
          <w:numId w:val="3"/>
        </w:numPr>
        <w:ind w:left="0" w:firstLine="0"/>
      </w:pPr>
      <w:r>
        <w:t xml:space="preserve">Оценку работ осуществляет Экспертный совет. Экспертный совет возглавляет председатель. </w:t>
      </w:r>
    </w:p>
    <w:p w:rsidR="00C2336B" w:rsidRDefault="00652BE0" w:rsidP="009557DD">
      <w:pPr>
        <w:numPr>
          <w:ilvl w:val="1"/>
          <w:numId w:val="3"/>
        </w:numPr>
        <w:ind w:left="426" w:hanging="426"/>
      </w:pPr>
      <w:r>
        <w:t xml:space="preserve">Функции Экспертного совета:  </w:t>
      </w:r>
    </w:p>
    <w:p w:rsidR="00C2336B" w:rsidRDefault="00652BE0">
      <w:pPr>
        <w:numPr>
          <w:ilvl w:val="0"/>
          <w:numId w:val="2"/>
        </w:numPr>
        <w:ind w:hanging="139"/>
      </w:pPr>
      <w:r>
        <w:t xml:space="preserve">оценивает индивидуальную или коллективную работу участников. </w:t>
      </w:r>
    </w:p>
    <w:p w:rsidR="00C2336B" w:rsidRDefault="00652BE0">
      <w:pPr>
        <w:numPr>
          <w:ilvl w:val="0"/>
          <w:numId w:val="2"/>
        </w:numPr>
        <w:ind w:hanging="139"/>
      </w:pPr>
      <w:r>
        <w:t>определяет</w:t>
      </w:r>
      <w:r>
        <w:t xml:space="preserve"> призеров по каждой номинации.  </w:t>
      </w:r>
    </w:p>
    <w:p w:rsidR="00C2336B" w:rsidRDefault="00652BE0">
      <w:pPr>
        <w:numPr>
          <w:ilvl w:val="0"/>
          <w:numId w:val="2"/>
        </w:numPr>
        <w:ind w:hanging="139"/>
      </w:pPr>
      <w:r>
        <w:t xml:space="preserve">принимает решение о награждении лауреатов Выставки. </w:t>
      </w:r>
    </w:p>
    <w:p w:rsidR="00C2336B" w:rsidRDefault="00652BE0">
      <w:pPr>
        <w:numPr>
          <w:ilvl w:val="0"/>
          <w:numId w:val="2"/>
        </w:numPr>
        <w:ind w:hanging="139"/>
      </w:pPr>
      <w:r>
        <w:t xml:space="preserve">оформляет протокол по результатам Выставки. </w:t>
      </w:r>
    </w:p>
    <w:p w:rsidR="00C2336B" w:rsidRDefault="00652BE0">
      <w:pPr>
        <w:pStyle w:val="1"/>
        <w:ind w:left="-5"/>
      </w:pPr>
      <w:r>
        <w:t xml:space="preserve">4. Участники Выставки  </w:t>
      </w:r>
    </w:p>
    <w:p w:rsidR="00C2336B" w:rsidRDefault="00652BE0">
      <w:pPr>
        <w:ind w:left="-5"/>
      </w:pPr>
      <w:r>
        <w:t>4.1 В Выставке принимают участие лица без возрастных ограничений из числа образовательных организаций</w:t>
      </w:r>
      <w:r>
        <w:t xml:space="preserve"> всех типов, а также специалистов, предоставляющих результаты авторских и коллективных исследований, разработок, проектов в рамках заявленной тематики. </w:t>
      </w:r>
    </w:p>
    <w:p w:rsidR="00C2336B" w:rsidRDefault="00652BE0">
      <w:pPr>
        <w:ind w:left="-5"/>
      </w:pPr>
      <w:r>
        <w:t xml:space="preserve">4.2 Категории участников:  </w:t>
      </w:r>
    </w:p>
    <w:p w:rsidR="00C2336B" w:rsidRDefault="00652BE0">
      <w:pPr>
        <w:numPr>
          <w:ilvl w:val="0"/>
          <w:numId w:val="4"/>
        </w:numPr>
        <w:ind w:hanging="137"/>
      </w:pPr>
      <w:r>
        <w:t xml:space="preserve">Категория 1 –  учащиеся учреждений дошкольного образования.  </w:t>
      </w:r>
    </w:p>
    <w:p w:rsidR="00C2336B" w:rsidRDefault="00652BE0">
      <w:pPr>
        <w:ind w:left="-5"/>
      </w:pPr>
      <w:r>
        <w:t xml:space="preserve">-Категория 2 </w:t>
      </w:r>
      <w:r>
        <w:t xml:space="preserve">-– учащиеся общеобразовательных и профессиональных образовательных организаций, а также организаций дополнительного образования. </w:t>
      </w:r>
    </w:p>
    <w:p w:rsidR="00C2336B" w:rsidRDefault="00652BE0">
      <w:pPr>
        <w:numPr>
          <w:ilvl w:val="0"/>
          <w:numId w:val="4"/>
        </w:numPr>
        <w:ind w:hanging="137"/>
      </w:pPr>
      <w:r>
        <w:t xml:space="preserve">Категория 3 - учащиеся организаций высшего образования. </w:t>
      </w:r>
    </w:p>
    <w:p w:rsidR="00C2336B" w:rsidRDefault="00652BE0">
      <w:pPr>
        <w:numPr>
          <w:ilvl w:val="0"/>
          <w:numId w:val="4"/>
        </w:numPr>
        <w:ind w:hanging="137"/>
      </w:pPr>
      <w:r>
        <w:t>Категория 4 - специалисты, осуществляющие научно-инженерную деятельно</w:t>
      </w:r>
      <w:r>
        <w:t xml:space="preserve">сть в организациях и учреждениях различных форм собственности. </w:t>
      </w:r>
    </w:p>
    <w:p w:rsidR="00C2336B" w:rsidRDefault="00652BE0">
      <w:pPr>
        <w:numPr>
          <w:ilvl w:val="0"/>
          <w:numId w:val="5"/>
        </w:numPr>
        <w:spacing w:after="161" w:line="259" w:lineRule="auto"/>
        <w:ind w:hanging="259"/>
        <w:jc w:val="left"/>
      </w:pPr>
      <w:r>
        <w:rPr>
          <w:b/>
        </w:rPr>
        <w:t xml:space="preserve">Порядок и сроки проведения Выставки: </w:t>
      </w:r>
    </w:p>
    <w:p w:rsidR="00C2336B" w:rsidRDefault="00652BE0" w:rsidP="009557DD">
      <w:pPr>
        <w:numPr>
          <w:ilvl w:val="1"/>
          <w:numId w:val="5"/>
        </w:numPr>
        <w:ind w:left="0" w:firstLine="0"/>
      </w:pPr>
      <w:r>
        <w:t xml:space="preserve">К участию в конкурсе допускаются индивидуальные и </w:t>
      </w:r>
      <w:proofErr w:type="gramStart"/>
      <w:r>
        <w:t>коллективные конструкторские разработки</w:t>
      </w:r>
      <w:proofErr w:type="gramEnd"/>
      <w:r>
        <w:t xml:space="preserve"> </w:t>
      </w:r>
      <w:r>
        <w:t xml:space="preserve">и изобретения, представленные в виде моделей, макетов и компьютерных программ, в рамках заявленной категории. </w:t>
      </w:r>
    </w:p>
    <w:p w:rsidR="00C2336B" w:rsidRDefault="00652BE0" w:rsidP="009557DD">
      <w:pPr>
        <w:numPr>
          <w:ilvl w:val="1"/>
          <w:numId w:val="5"/>
        </w:numPr>
        <w:ind w:left="0" w:firstLine="0"/>
      </w:pPr>
      <w:r>
        <w:t>Выставка проводится в од</w:t>
      </w:r>
      <w:r w:rsidR="009557DD">
        <w:t>ин этап (очный) 6 октября 2019</w:t>
      </w:r>
      <w:r>
        <w:t xml:space="preserve"> года.  </w:t>
      </w:r>
    </w:p>
    <w:p w:rsidR="00C2336B" w:rsidRPr="00652BE0" w:rsidRDefault="009557DD" w:rsidP="009557DD">
      <w:pPr>
        <w:numPr>
          <w:ilvl w:val="1"/>
          <w:numId w:val="5"/>
        </w:numPr>
        <w:spacing w:after="161" w:line="259" w:lineRule="auto"/>
        <w:ind w:left="426" w:hanging="387"/>
      </w:pPr>
      <w:r>
        <w:t xml:space="preserve"> </w:t>
      </w:r>
      <w:r w:rsidR="00652BE0">
        <w:rPr>
          <w:color w:val="222222"/>
        </w:rPr>
        <w:t xml:space="preserve">Очный этап Выставки включает в себя защиту проекта во время работы Выставки перед членами Экспертного совета. </w:t>
      </w:r>
    </w:p>
    <w:p w:rsidR="00652BE0" w:rsidRDefault="00652BE0" w:rsidP="00652BE0">
      <w:pPr>
        <w:spacing w:after="161" w:line="259" w:lineRule="auto"/>
        <w:ind w:left="39" w:firstLine="0"/>
      </w:pPr>
    </w:p>
    <w:p w:rsidR="00652BE0" w:rsidRDefault="00652BE0" w:rsidP="00652BE0">
      <w:pPr>
        <w:spacing w:after="161" w:line="259" w:lineRule="auto"/>
        <w:ind w:left="39" w:firstLine="0"/>
      </w:pPr>
    </w:p>
    <w:p w:rsidR="00652BE0" w:rsidRDefault="00652BE0" w:rsidP="00652BE0">
      <w:pPr>
        <w:spacing w:after="161" w:line="259" w:lineRule="auto"/>
        <w:ind w:left="39" w:firstLine="0"/>
      </w:pPr>
    </w:p>
    <w:p w:rsidR="00C2336B" w:rsidRDefault="00652BE0">
      <w:pPr>
        <w:numPr>
          <w:ilvl w:val="0"/>
          <w:numId w:val="5"/>
        </w:numPr>
        <w:spacing w:line="259" w:lineRule="auto"/>
        <w:ind w:hanging="259"/>
        <w:jc w:val="left"/>
      </w:pPr>
      <w:r>
        <w:rPr>
          <w:b/>
          <w:color w:val="222222"/>
        </w:rPr>
        <w:lastRenderedPageBreak/>
        <w:t xml:space="preserve">Тематические области  </w:t>
      </w:r>
    </w:p>
    <w:p w:rsidR="00C2336B" w:rsidRDefault="00652BE0">
      <w:pPr>
        <w:spacing w:after="161" w:line="259" w:lineRule="auto"/>
        <w:ind w:left="-5" w:right="-13"/>
        <w:jc w:val="left"/>
      </w:pPr>
      <w:r>
        <w:rPr>
          <w:color w:val="222222"/>
        </w:rPr>
        <w:t xml:space="preserve">6. В выставке оцениваются проекты, выполненные участниками в следующих тематических областях:  </w:t>
      </w:r>
    </w:p>
    <w:p w:rsidR="00C2336B" w:rsidRDefault="00652BE0">
      <w:pPr>
        <w:numPr>
          <w:ilvl w:val="0"/>
          <w:numId w:val="6"/>
        </w:numPr>
      </w:pPr>
      <w:r>
        <w:t>Энергетика (</w:t>
      </w:r>
      <w:r>
        <w:t xml:space="preserve">энергосберегающие технологии, альтернативная энергетика, умные электрические сети). </w:t>
      </w:r>
    </w:p>
    <w:p w:rsidR="00C2336B" w:rsidRDefault="00652BE0">
      <w:pPr>
        <w:numPr>
          <w:ilvl w:val="0"/>
          <w:numId w:val="6"/>
        </w:numPr>
      </w:pPr>
      <w:r>
        <w:t xml:space="preserve">Транспортные системы (беспилотные транспортные средства, системы помощи при вождении, системы безопасности в транспорте, регулирование транспортного потока). </w:t>
      </w:r>
    </w:p>
    <w:p w:rsidR="00C2336B" w:rsidRDefault="00652BE0">
      <w:pPr>
        <w:numPr>
          <w:ilvl w:val="0"/>
          <w:numId w:val="6"/>
        </w:numPr>
      </w:pPr>
      <w:r>
        <w:t>Системы умно</w:t>
      </w:r>
      <w:r>
        <w:t xml:space="preserve">го дома, офиса (умная бытовая техника, контроль и регулирование внутреннего микроклимата, доступ и безопасность, автоматизированное управление). </w:t>
      </w:r>
    </w:p>
    <w:p w:rsidR="00C2336B" w:rsidRDefault="00652BE0">
      <w:pPr>
        <w:numPr>
          <w:ilvl w:val="0"/>
          <w:numId w:val="6"/>
        </w:numPr>
      </w:pPr>
      <w:r>
        <w:t xml:space="preserve">Информационные технологии (электроника, программирование, анализ данных, машинное обучение, </w:t>
      </w:r>
      <w:proofErr w:type="spellStart"/>
      <w:r>
        <w:t>нейросети</w:t>
      </w:r>
      <w:proofErr w:type="spellEnd"/>
      <w:r>
        <w:t>, интерфе</w:t>
      </w:r>
      <w:r>
        <w:t xml:space="preserve">йсы). </w:t>
      </w:r>
    </w:p>
    <w:p w:rsidR="00C2336B" w:rsidRDefault="00652BE0">
      <w:pPr>
        <w:numPr>
          <w:ilvl w:val="0"/>
          <w:numId w:val="6"/>
        </w:numPr>
      </w:pPr>
      <w:r>
        <w:t xml:space="preserve">Медицина и биотехнологии (мониторинг здоровья, носимая электроника, </w:t>
      </w:r>
      <w:proofErr w:type="spellStart"/>
      <w:r>
        <w:t>экзоскелеты</w:t>
      </w:r>
      <w:proofErr w:type="spellEnd"/>
      <w:r>
        <w:t xml:space="preserve">, </w:t>
      </w:r>
      <w:proofErr w:type="spellStart"/>
      <w:r>
        <w:t>биоинформатика</w:t>
      </w:r>
      <w:proofErr w:type="spellEnd"/>
      <w:r>
        <w:t xml:space="preserve">). </w:t>
      </w:r>
    </w:p>
    <w:p w:rsidR="00C2336B" w:rsidRDefault="00652BE0">
      <w:pPr>
        <w:numPr>
          <w:ilvl w:val="0"/>
          <w:numId w:val="6"/>
        </w:numPr>
      </w:pPr>
      <w:r>
        <w:t xml:space="preserve">Сельское хозяйство (мониторинг окружающей среды, автоматизация теплиц и животноводческих комплексов, сельскохозяйственные роботы и </w:t>
      </w:r>
      <w:proofErr w:type="spellStart"/>
      <w:r>
        <w:t>дроны</w:t>
      </w:r>
      <w:proofErr w:type="spellEnd"/>
      <w:r>
        <w:t xml:space="preserve">). </w:t>
      </w:r>
    </w:p>
    <w:p w:rsidR="00C2336B" w:rsidRDefault="00652BE0">
      <w:pPr>
        <w:numPr>
          <w:ilvl w:val="0"/>
          <w:numId w:val="6"/>
        </w:numPr>
      </w:pPr>
      <w:r>
        <w:t>Экология (</w:t>
      </w:r>
      <w:r>
        <w:t xml:space="preserve">сортировка и переработка мусора, системы фильтрации и очистки воздуха и воды, экология городов).  </w:t>
      </w:r>
    </w:p>
    <w:p w:rsidR="00C2336B" w:rsidRDefault="00652BE0">
      <w:pPr>
        <w:numPr>
          <w:ilvl w:val="0"/>
          <w:numId w:val="6"/>
        </w:numPr>
      </w:pPr>
      <w:r>
        <w:t xml:space="preserve">Новые производственные технологии (автоматизация производства, машиностроение, приборостроение). </w:t>
      </w:r>
    </w:p>
    <w:p w:rsidR="00C2336B" w:rsidRDefault="00652BE0">
      <w:pPr>
        <w:numPr>
          <w:ilvl w:val="0"/>
          <w:numId w:val="6"/>
        </w:numPr>
      </w:pPr>
      <w:r>
        <w:t>ЗD печать (проекты по использованию 3D печати в моделирован</w:t>
      </w:r>
      <w:r>
        <w:t xml:space="preserve">ии, дизайне, производстве, электронике и медицине). </w:t>
      </w:r>
    </w:p>
    <w:p w:rsidR="00C2336B" w:rsidRDefault="00652BE0">
      <w:pPr>
        <w:numPr>
          <w:ilvl w:val="0"/>
          <w:numId w:val="6"/>
        </w:numPr>
      </w:pPr>
      <w:r>
        <w:t xml:space="preserve">Космические технологии (спутниковые системы, ракетоносители, системы жизнеобеспечения, освоение космоса, научно-исследовательская деятельность в условиях космического пространства). </w:t>
      </w:r>
    </w:p>
    <w:p w:rsidR="00C2336B" w:rsidRDefault="00652BE0">
      <w:pPr>
        <w:numPr>
          <w:ilvl w:val="0"/>
          <w:numId w:val="6"/>
        </w:numPr>
      </w:pPr>
      <w:r>
        <w:t xml:space="preserve">Современное строительство (автономные дома, зелёные технологии в строительстве, 3D печать строительных конструкций, автоматизация строительных процессов). </w:t>
      </w:r>
    </w:p>
    <w:p w:rsidR="00C2336B" w:rsidRDefault="00652BE0">
      <w:pPr>
        <w:numPr>
          <w:ilvl w:val="0"/>
          <w:numId w:val="6"/>
        </w:numPr>
      </w:pPr>
      <w:r>
        <w:t>Системы дополненной и виртуальной реальности (устройства и приложения, позволяющие использовать VR/A</w:t>
      </w:r>
      <w:r>
        <w:t xml:space="preserve">R в производстве, строительстве, проектировании, медицине, образовании, сфере развлечений). </w:t>
      </w:r>
    </w:p>
    <w:p w:rsidR="009557DD" w:rsidRDefault="00652BE0" w:rsidP="00652BE0">
      <w:pPr>
        <w:numPr>
          <w:ilvl w:val="0"/>
          <w:numId w:val="6"/>
        </w:numPr>
      </w:pPr>
      <w:r>
        <w:t xml:space="preserve">Робототехника (применение автономных и роботизированных платформ во всех сферах). </w:t>
      </w:r>
    </w:p>
    <w:p w:rsidR="00C2336B" w:rsidRDefault="00652BE0">
      <w:pPr>
        <w:pStyle w:val="1"/>
        <w:ind w:left="-5"/>
      </w:pPr>
      <w:r>
        <w:lastRenderedPageBreak/>
        <w:t>7. Подведение итогов В</w:t>
      </w:r>
      <w:r>
        <w:t xml:space="preserve">ыставки </w:t>
      </w:r>
    </w:p>
    <w:p w:rsidR="00C2336B" w:rsidRDefault="00652BE0">
      <w:pPr>
        <w:ind w:left="-5"/>
      </w:pPr>
      <w:r>
        <w:t xml:space="preserve">7.1 Проекты во всех номинациях оцениваются членами Экспертного совета по отдельным критериям. За каждый критерий проекту выставляется оценка по шкале от 1 до 10.  Итоговая оценка проекта получается путём сложения оценок по каждому критерию. </w:t>
      </w:r>
    </w:p>
    <w:p w:rsidR="00C2336B" w:rsidRDefault="00652BE0">
      <w:pPr>
        <w:ind w:left="-5"/>
      </w:pPr>
      <w:r>
        <w:t>7.2 К</w:t>
      </w:r>
      <w:r>
        <w:t xml:space="preserve">ритерии оценки: </w:t>
      </w:r>
    </w:p>
    <w:p w:rsidR="00C2336B" w:rsidRDefault="00652BE0">
      <w:pPr>
        <w:numPr>
          <w:ilvl w:val="0"/>
          <w:numId w:val="7"/>
        </w:numPr>
        <w:ind w:hanging="137"/>
      </w:pPr>
      <w:r>
        <w:t xml:space="preserve">Актуальность решаемой проектом проблемы. </w:t>
      </w:r>
    </w:p>
    <w:p w:rsidR="009557DD" w:rsidRDefault="009557DD" w:rsidP="009557DD">
      <w:pPr>
        <w:numPr>
          <w:ilvl w:val="0"/>
          <w:numId w:val="7"/>
        </w:numPr>
        <w:ind w:hanging="137"/>
      </w:pPr>
      <w:r>
        <w:t xml:space="preserve">Оригинальность и принципиальная новизна предложенных решений, подходов и результатов проекта. </w:t>
      </w:r>
    </w:p>
    <w:p w:rsidR="00C2336B" w:rsidRDefault="00652BE0">
      <w:pPr>
        <w:numPr>
          <w:ilvl w:val="0"/>
          <w:numId w:val="7"/>
        </w:numPr>
        <w:ind w:hanging="137"/>
      </w:pPr>
      <w:r>
        <w:t xml:space="preserve">Полнота и системность проведённого анализа проблемного поля, обзор состояния отрасли, подходы к решению проблемы в России и мире. </w:t>
      </w:r>
    </w:p>
    <w:p w:rsidR="00C2336B" w:rsidRDefault="00652BE0">
      <w:pPr>
        <w:numPr>
          <w:ilvl w:val="0"/>
          <w:numId w:val="7"/>
        </w:numPr>
        <w:ind w:hanging="137"/>
      </w:pPr>
      <w:r>
        <w:t xml:space="preserve">Практическая применимость и перспективность решения </w:t>
      </w:r>
    </w:p>
    <w:p w:rsidR="00652BE0" w:rsidRDefault="009557DD">
      <w:pPr>
        <w:spacing w:line="259" w:lineRule="auto"/>
        <w:ind w:left="0" w:firstLine="0"/>
        <w:jc w:val="left"/>
      </w:pPr>
      <w:r>
        <w:t>- Оценка уровня подачи м</w:t>
      </w:r>
      <w:r w:rsidR="00652BE0">
        <w:t>атериала, знание конструкционных и программных особенностей проекта.</w:t>
      </w:r>
    </w:p>
    <w:p w:rsidR="00652BE0" w:rsidRDefault="00652BE0">
      <w:pPr>
        <w:spacing w:line="259" w:lineRule="auto"/>
        <w:ind w:left="0" w:firstLine="0"/>
        <w:jc w:val="left"/>
      </w:pPr>
    </w:p>
    <w:p w:rsidR="00C2336B" w:rsidRPr="00652BE0" w:rsidRDefault="00652BE0" w:rsidP="00652BE0">
      <w:pPr>
        <w:rPr>
          <w:b/>
        </w:rPr>
      </w:pPr>
      <w:r>
        <w:rPr>
          <w:b/>
        </w:rPr>
        <w:t xml:space="preserve">8. </w:t>
      </w:r>
      <w:r w:rsidRPr="00652BE0">
        <w:rPr>
          <w:b/>
        </w:rPr>
        <w:t xml:space="preserve">Награждение </w:t>
      </w:r>
      <w:bookmarkStart w:id="0" w:name="_GoBack"/>
      <w:bookmarkEnd w:id="0"/>
    </w:p>
    <w:p w:rsidR="00C2336B" w:rsidRDefault="00652BE0">
      <w:pPr>
        <w:ind w:left="-5"/>
      </w:pPr>
      <w:r>
        <w:t xml:space="preserve">8.1 </w:t>
      </w:r>
      <w:r>
        <w:t>В</w:t>
      </w:r>
      <w:r>
        <w:t xml:space="preserve">се участники Выставки получают диплом участника. </w:t>
      </w:r>
      <w:r>
        <w:t xml:space="preserve">Авторы лучших проектов Выставки будут награждены дипломами победителя. </w:t>
      </w:r>
    </w:p>
    <w:p w:rsidR="00652BE0" w:rsidRDefault="00652BE0" w:rsidP="00652BE0"/>
    <w:p w:rsidR="00C2336B" w:rsidRDefault="00652BE0" w:rsidP="00652BE0">
      <w:r>
        <w:t xml:space="preserve">8.2 </w:t>
      </w:r>
      <w:r>
        <w:t xml:space="preserve">Итоги Выставки размещаются на официальном сайте </w:t>
      </w:r>
      <w:hyperlink r:id="rId5">
        <w:r>
          <w:rPr>
            <w:color w:val="0563C1"/>
            <w:u w:val="single" w:color="0563C1"/>
          </w:rPr>
          <w:t>http://kdedu.ru</w:t>
        </w:r>
      </w:hyperlink>
      <w:hyperlink r:id="rId6">
        <w:r>
          <w:t xml:space="preserve"> </w:t>
        </w:r>
      </w:hyperlink>
      <w:r>
        <w:t xml:space="preserve">.  </w:t>
      </w:r>
    </w:p>
    <w:sectPr w:rsidR="00C2336B">
      <w:pgSz w:w="11906" w:h="16838"/>
      <w:pgMar w:top="1186" w:right="848" w:bottom="1260" w:left="20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792C"/>
    <w:multiLevelType w:val="multilevel"/>
    <w:tmpl w:val="DCA2BC7E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363571"/>
    <w:multiLevelType w:val="multilevel"/>
    <w:tmpl w:val="E234677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0642B5"/>
    <w:multiLevelType w:val="multilevel"/>
    <w:tmpl w:val="D1403230"/>
    <w:lvl w:ilvl="0">
      <w:start w:val="5"/>
      <w:numFmt w:val="decimal"/>
      <w:lvlText w:val="%1.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B6FE3"/>
    <w:multiLevelType w:val="hybridMultilevel"/>
    <w:tmpl w:val="545E320C"/>
    <w:lvl w:ilvl="0" w:tplc="664ABEE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5859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8A87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3AF6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BA6A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6C54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460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BE1E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EE87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B068DA"/>
    <w:multiLevelType w:val="hybridMultilevel"/>
    <w:tmpl w:val="78668252"/>
    <w:lvl w:ilvl="0" w:tplc="E764A2A4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6469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AE82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3AFF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2080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C8AE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1625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16EE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1074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4A33F9"/>
    <w:multiLevelType w:val="hybridMultilevel"/>
    <w:tmpl w:val="4D9E2DF0"/>
    <w:lvl w:ilvl="0" w:tplc="BA6A20C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5631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8227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BCF1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DA13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AACF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8894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2AB4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5E8F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735E12"/>
    <w:multiLevelType w:val="hybridMultilevel"/>
    <w:tmpl w:val="2F923F1C"/>
    <w:lvl w:ilvl="0" w:tplc="63B48F58">
      <w:start w:val="1"/>
      <w:numFmt w:val="bullet"/>
      <w:lvlText w:val="-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E8FA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C0F4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3297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B86E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3E68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CA4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5C7C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ACF8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9A6EDA"/>
    <w:multiLevelType w:val="hybridMultilevel"/>
    <w:tmpl w:val="FAD20440"/>
    <w:lvl w:ilvl="0" w:tplc="487C47D2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1C27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08B7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F6D8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647E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14F8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64E4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64C8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2AEA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6B"/>
    <w:rsid w:val="00652BE0"/>
    <w:rsid w:val="009557DD"/>
    <w:rsid w:val="00C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D9C2"/>
  <w15:docId w15:val="{8219F391-2D82-42D1-9585-39B0A3F9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1"/>
      <w:ind w:left="862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6"/>
    </w:rPr>
  </w:style>
  <w:style w:type="paragraph" w:styleId="a3">
    <w:name w:val="List Paragraph"/>
    <w:basedOn w:val="a"/>
    <w:uiPriority w:val="34"/>
    <w:qFormat/>
    <w:rsid w:val="0065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edu.ru/" TargetMode="External"/><Relationship Id="rId5" Type="http://schemas.openxmlformats.org/officeDocument/2006/relationships/hyperlink" Target="http://kd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tu</dc:creator>
  <cp:keywords/>
  <cp:lastModifiedBy>RePack by Diakov</cp:lastModifiedBy>
  <cp:revision>2</cp:revision>
  <dcterms:created xsi:type="dcterms:W3CDTF">2019-07-01T15:42:00Z</dcterms:created>
  <dcterms:modified xsi:type="dcterms:W3CDTF">2019-07-01T15:42:00Z</dcterms:modified>
</cp:coreProperties>
</file>